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9D99F" w14:textId="77777777" w:rsidR="00E435FD" w:rsidRPr="003478EE" w:rsidRDefault="00E435FD" w:rsidP="00E435FD">
      <w:pPr>
        <w:ind w:left="360" w:right="-720" w:firstLine="180"/>
        <w:rPr>
          <w:b/>
        </w:rPr>
      </w:pPr>
      <w:r>
        <w:rPr>
          <w:b/>
        </w:rPr>
        <w:t xml:space="preserve">                                         POLICIES &amp; PROCEDURES</w:t>
      </w:r>
    </w:p>
    <w:p w14:paraId="153E9C9B" w14:textId="77777777" w:rsidR="00E435FD" w:rsidRPr="003478EE" w:rsidRDefault="00E435FD" w:rsidP="00E435FD">
      <w:pPr>
        <w:ind w:left="360" w:right="-720"/>
        <w:rPr>
          <w:b/>
          <w:sz w:val="28"/>
          <w:szCs w:val="28"/>
        </w:rPr>
      </w:pPr>
    </w:p>
    <w:p w14:paraId="1E0A92BE" w14:textId="49E1ECFA" w:rsidR="00E435FD" w:rsidRPr="003478EE" w:rsidRDefault="00E435FD" w:rsidP="00E435FD">
      <w:pPr>
        <w:ind w:left="360" w:right="-720"/>
        <w:rPr>
          <w:b/>
        </w:rPr>
      </w:pPr>
      <w:r>
        <w:rPr>
          <w:b/>
        </w:rPr>
        <w:t>APPOINTMENT TIMES:</w:t>
      </w:r>
    </w:p>
    <w:p w14:paraId="16AC51DA" w14:textId="0E0148FC" w:rsidR="00E435FD" w:rsidRPr="003478EE" w:rsidRDefault="00E435FD" w:rsidP="00E435FD">
      <w:pPr>
        <w:ind w:left="360" w:right="-720"/>
      </w:pPr>
      <w:r>
        <w:t>Appointment times</w:t>
      </w:r>
      <w:r w:rsidRPr="003478EE">
        <w:t xml:space="preserve"> are reserved for you. </w:t>
      </w:r>
      <w:r>
        <w:t>Counseling appointments are</w:t>
      </w:r>
      <w:r w:rsidRPr="003478EE">
        <w:t xml:space="preserve"> 53 minutes</w:t>
      </w:r>
      <w:r>
        <w:t xml:space="preserve">. Medication management follow up appointments are 30 minutes. </w:t>
      </w:r>
      <w:r w:rsidRPr="003478EE">
        <w:t xml:space="preserve">The last 3 minutes of each </w:t>
      </w:r>
      <w:r>
        <w:t>appointment</w:t>
      </w:r>
      <w:r w:rsidRPr="003478EE">
        <w:t xml:space="preserve"> is used </w:t>
      </w:r>
      <w:r>
        <w:t>for rescheduling.</w:t>
      </w:r>
    </w:p>
    <w:p w14:paraId="6BCCCEF7" w14:textId="77777777" w:rsidR="00E435FD" w:rsidRPr="003478EE" w:rsidRDefault="00E435FD" w:rsidP="00E435FD">
      <w:pPr>
        <w:ind w:left="360" w:right="-720"/>
        <w:rPr>
          <w:b/>
        </w:rPr>
      </w:pPr>
    </w:p>
    <w:p w14:paraId="2B2CD178" w14:textId="77777777" w:rsidR="00E435FD" w:rsidRPr="003478EE" w:rsidRDefault="00E435FD" w:rsidP="00E435FD">
      <w:pPr>
        <w:ind w:left="360" w:right="-720"/>
        <w:rPr>
          <w:b/>
        </w:rPr>
      </w:pPr>
      <w:r>
        <w:rPr>
          <w:b/>
        </w:rPr>
        <w:t>NO-SHOWS and LATE CANCELLATIONS:</w:t>
      </w:r>
    </w:p>
    <w:p w14:paraId="716CA642" w14:textId="58FF5166" w:rsidR="00E435FD" w:rsidRPr="003478EE" w:rsidRDefault="00E435FD" w:rsidP="00E435FD">
      <w:pPr>
        <w:ind w:left="360" w:right="-720"/>
      </w:pPr>
      <w:r w:rsidRPr="003478EE">
        <w:t xml:space="preserve">It is important that you understand and agree to our No-Show Policy. Our </w:t>
      </w:r>
      <w:r w:rsidR="005B77BC">
        <w:t>providers</w:t>
      </w:r>
      <w:r>
        <w:t xml:space="preserve"> have</w:t>
      </w:r>
      <w:r w:rsidRPr="003478EE">
        <w:t xml:space="preserve"> devoted their career to helping others. For them to be able to support themselves and their families, they depend on their income from their session times. Just as it would be a hardship for your family if your employer were unable to guarantee how much you could depend on making each paycheck, our counselors depend on the income that is generated by the session times. </w:t>
      </w:r>
    </w:p>
    <w:p w14:paraId="70331E9F" w14:textId="77777777" w:rsidR="00E435FD" w:rsidRPr="00630226" w:rsidRDefault="00E435FD" w:rsidP="00E435FD">
      <w:pPr>
        <w:ind w:left="360" w:right="-720"/>
        <w:rPr>
          <w:sz w:val="20"/>
          <w:szCs w:val="20"/>
        </w:rPr>
      </w:pPr>
    </w:p>
    <w:p w14:paraId="18D96F46" w14:textId="77777777" w:rsidR="0042206A" w:rsidRDefault="0042206A" w:rsidP="0042206A">
      <w:pPr>
        <w:pStyle w:val="NoSpacing"/>
        <w:ind w:left="360"/>
        <w:rPr>
          <w:b/>
        </w:rPr>
      </w:pPr>
      <w:r w:rsidRPr="00913D72">
        <w:t xml:space="preserve">It is our policy to charge </w:t>
      </w:r>
      <w:r>
        <w:t>the self-pay</w:t>
      </w:r>
      <w:r w:rsidRPr="00913D72">
        <w:t xml:space="preserve"> fee for appointments that are not cancelled at least 24 hours in advance. </w:t>
      </w:r>
      <w:r w:rsidRPr="001F7402">
        <w:t>The No-Show will be charged to the card on file</w:t>
      </w:r>
      <w:r>
        <w:t>.</w:t>
      </w:r>
    </w:p>
    <w:p w14:paraId="32F71F1D" w14:textId="77777777" w:rsidR="00E435FD" w:rsidRDefault="00E435FD" w:rsidP="007709D0">
      <w:pPr>
        <w:pStyle w:val="NoSpacing"/>
        <w:rPr>
          <w:b/>
          <w:bCs/>
        </w:rPr>
      </w:pPr>
    </w:p>
    <w:p w14:paraId="4D7163D7" w14:textId="77777777" w:rsidR="00E435FD" w:rsidRPr="003478EE" w:rsidRDefault="00E435FD" w:rsidP="00E435FD">
      <w:pPr>
        <w:ind w:right="-720" w:firstLine="360"/>
        <w:rPr>
          <w:b/>
        </w:rPr>
      </w:pPr>
      <w:r>
        <w:rPr>
          <w:b/>
        </w:rPr>
        <w:t>LATE ARRIVAL:</w:t>
      </w:r>
    </w:p>
    <w:p w14:paraId="121013D0" w14:textId="7581218D" w:rsidR="00E435FD" w:rsidRDefault="00E435FD" w:rsidP="00E435FD">
      <w:pPr>
        <w:ind w:left="360" w:right="-720"/>
      </w:pPr>
      <w:r w:rsidRPr="003478EE">
        <w:t xml:space="preserve">If you are more than 15 minutes late for </w:t>
      </w:r>
      <w:r w:rsidR="008930EA">
        <w:t>a counseling</w:t>
      </w:r>
      <w:r w:rsidRPr="003478EE">
        <w:t xml:space="preserve"> appointment</w:t>
      </w:r>
      <w:r w:rsidR="008930EA">
        <w:t xml:space="preserve"> or 5 minutes late for a medication appointment</w:t>
      </w:r>
      <w:r w:rsidRPr="003478EE">
        <w:t xml:space="preserve">, you will be responsible for the </w:t>
      </w:r>
      <w:r w:rsidR="008D4175">
        <w:t>self-pay</w:t>
      </w:r>
      <w:r w:rsidRPr="003478EE">
        <w:t xml:space="preserve"> fee for the session, which is not reimbursable by insurance.</w:t>
      </w:r>
    </w:p>
    <w:p w14:paraId="0DD4CAD6" w14:textId="77777777" w:rsidR="00E435FD" w:rsidRDefault="00E435FD" w:rsidP="00E435FD">
      <w:pPr>
        <w:ind w:right="-720"/>
      </w:pPr>
    </w:p>
    <w:p w14:paraId="37763707" w14:textId="77777777" w:rsidR="00E435FD" w:rsidRPr="00882853" w:rsidRDefault="00E435FD" w:rsidP="00E435FD">
      <w:pPr>
        <w:ind w:left="360" w:right="-720"/>
        <w:rPr>
          <w:b/>
        </w:rPr>
      </w:pPr>
      <w:r>
        <w:rPr>
          <w:b/>
        </w:rPr>
        <w:t>NO-SHOW POLICY FOR MEDICAID CLIENTS:</w:t>
      </w:r>
    </w:p>
    <w:p w14:paraId="4D29E5BA" w14:textId="77777777" w:rsidR="00E435FD" w:rsidRDefault="00E435FD" w:rsidP="00E435FD">
      <w:pPr>
        <w:widowControl w:val="0"/>
        <w:autoSpaceDE w:val="0"/>
        <w:autoSpaceDN w:val="0"/>
        <w:adjustRightInd w:val="0"/>
        <w:spacing w:line="240" w:lineRule="auto"/>
        <w:ind w:left="360"/>
      </w:pPr>
      <w:r w:rsidRPr="00882853">
        <w:t>We accept</w:t>
      </w:r>
      <w:r>
        <w:t xml:space="preserve"> a limited number of minor clients who have Medicaid</w:t>
      </w:r>
      <w:r w:rsidRPr="00882853">
        <w:t xml:space="preserve">. For </w:t>
      </w:r>
      <w:r>
        <w:t>Medicaid clients</w:t>
      </w:r>
      <w:r w:rsidRPr="00882853">
        <w:t xml:space="preserve">, our office </w:t>
      </w:r>
      <w:r>
        <w:t>policy for No-Shows is different than that for the other clients. For Medicaid clients,</w:t>
      </w:r>
      <w:r w:rsidRPr="00882853">
        <w:t xml:space="preserve"> </w:t>
      </w:r>
      <w:r>
        <w:t xml:space="preserve">we </w:t>
      </w:r>
      <w:r w:rsidRPr="00882853">
        <w:t xml:space="preserve">are unable to </w:t>
      </w:r>
      <w:r>
        <w:t>charge the No-Show fee. If a No-Show occurs, we will provide referral sources to pursue counseling from another provider outside of this practice.</w:t>
      </w:r>
    </w:p>
    <w:p w14:paraId="5B5EF6C5" w14:textId="77777777" w:rsidR="00E435FD" w:rsidRDefault="00E435FD" w:rsidP="00E435FD">
      <w:pPr>
        <w:widowControl w:val="0"/>
        <w:autoSpaceDE w:val="0"/>
        <w:autoSpaceDN w:val="0"/>
        <w:adjustRightInd w:val="0"/>
        <w:spacing w:line="240" w:lineRule="auto"/>
        <w:ind w:left="360"/>
      </w:pPr>
    </w:p>
    <w:p w14:paraId="652DDA7A" w14:textId="77777777" w:rsidR="00E435FD" w:rsidRPr="000E34D3" w:rsidRDefault="00E435FD" w:rsidP="00E435FD">
      <w:pPr>
        <w:ind w:right="-720" w:firstLine="360"/>
        <w:rPr>
          <w:b/>
        </w:rPr>
      </w:pPr>
      <w:r>
        <w:rPr>
          <w:b/>
        </w:rPr>
        <w:t>ACCOUNT BALANCES:</w:t>
      </w:r>
    </w:p>
    <w:p w14:paraId="2BA61097" w14:textId="77777777" w:rsidR="008A4A25" w:rsidRDefault="008A4A25" w:rsidP="008A4A25">
      <w:pPr>
        <w:pStyle w:val="NoSpacing"/>
        <w:ind w:firstLine="360"/>
      </w:pPr>
      <w:r w:rsidRPr="00913D72">
        <w:t>I authorize Center for Counseling and Family Relationships to charge my credit card for</w:t>
      </w:r>
      <w:r>
        <w:t>:</w:t>
      </w:r>
    </w:p>
    <w:p w14:paraId="1CD735DE" w14:textId="77777777" w:rsidR="008A4A25" w:rsidRPr="00B75D5E" w:rsidRDefault="008A4A25" w:rsidP="008A4A25">
      <w:pPr>
        <w:pStyle w:val="NoSpacing"/>
        <w:rPr>
          <w:sz w:val="12"/>
          <w:szCs w:val="12"/>
        </w:rPr>
      </w:pPr>
    </w:p>
    <w:p w14:paraId="073A444B" w14:textId="4C874280" w:rsidR="008A4A25" w:rsidRDefault="008A4A25" w:rsidP="008A4A25">
      <w:pPr>
        <w:pStyle w:val="NoSpacing"/>
        <w:ind w:firstLine="360"/>
      </w:pPr>
      <w:r>
        <w:t>1. Copay, deductible, session fees,</w:t>
      </w:r>
      <w:r w:rsidR="00752F63">
        <w:t xml:space="preserve"> </w:t>
      </w:r>
      <w:r>
        <w:t>balances</w:t>
      </w:r>
      <w:r w:rsidR="00752F63">
        <w:t xml:space="preserve">, </w:t>
      </w:r>
      <w:r w:rsidR="00A93A15">
        <w:t>and any other fees incurred</w:t>
      </w:r>
    </w:p>
    <w:p w14:paraId="615A9F07" w14:textId="1D7A874F" w:rsidR="008A4A25" w:rsidRPr="00913D72" w:rsidRDefault="008A4A25" w:rsidP="008A4A25">
      <w:pPr>
        <w:pStyle w:val="NoSpacing"/>
        <w:ind w:firstLine="360"/>
      </w:pPr>
      <w:r>
        <w:t>2</w:t>
      </w:r>
      <w:r w:rsidRPr="00913D72">
        <w:t xml:space="preserve">. </w:t>
      </w:r>
      <w:r w:rsidR="00224207">
        <w:t>Unpaid insurance balances</w:t>
      </w:r>
    </w:p>
    <w:p w14:paraId="77BC076F" w14:textId="70404475" w:rsidR="008A4A25" w:rsidRDefault="008A4A25" w:rsidP="008A4A25">
      <w:pPr>
        <w:pStyle w:val="NoSpacing"/>
        <w:ind w:left="360"/>
      </w:pPr>
      <w:r>
        <w:t>3</w:t>
      </w:r>
      <w:r w:rsidRPr="00913D72">
        <w:t>. Cancellation fee if an appointment is not cancelled within 24 hours</w:t>
      </w:r>
      <w:r>
        <w:t xml:space="preserve"> or if an appointment No Show occurs</w:t>
      </w:r>
    </w:p>
    <w:p w14:paraId="7F7A15FB" w14:textId="77777777" w:rsidR="00E435FD" w:rsidRDefault="00E435FD" w:rsidP="00E435FD">
      <w:pPr>
        <w:pStyle w:val="NoSpacing"/>
      </w:pPr>
    </w:p>
    <w:p w14:paraId="72707ABD" w14:textId="6CE66701" w:rsidR="007709D0" w:rsidRDefault="00224207" w:rsidP="007709D0">
      <w:pPr>
        <w:pStyle w:val="NoSpacing"/>
        <w:ind w:left="360"/>
        <w:rPr>
          <w:b/>
          <w:bCs/>
        </w:rPr>
      </w:pPr>
      <w:r w:rsidRPr="00C85C96">
        <w:rPr>
          <w:b/>
          <w:bCs/>
        </w:rPr>
        <w:t>For balances on accounts, the full amount is due before any client or family member can resume services</w:t>
      </w:r>
      <w:r w:rsidR="007709D0">
        <w:rPr>
          <w:b/>
          <w:bCs/>
        </w:rPr>
        <w:t xml:space="preserve"> and all scheduled appointments will be cancelled.</w:t>
      </w:r>
    </w:p>
    <w:p w14:paraId="59F4683F" w14:textId="60218F35" w:rsidR="00224207" w:rsidRPr="00C85C96" w:rsidRDefault="00224207" w:rsidP="00224207">
      <w:pPr>
        <w:ind w:left="360" w:right="-720"/>
        <w:rPr>
          <w:b/>
          <w:bCs/>
        </w:rPr>
      </w:pPr>
    </w:p>
    <w:p w14:paraId="63E5E52D" w14:textId="77777777" w:rsidR="00E435FD" w:rsidRDefault="00E435FD" w:rsidP="00E435FD">
      <w:pPr>
        <w:pStyle w:val="ListParagraph"/>
        <w:ind w:left="360" w:right="-720"/>
      </w:pPr>
    </w:p>
    <w:p w14:paraId="0595CC43" w14:textId="77777777" w:rsidR="00E435FD" w:rsidRDefault="00E435FD" w:rsidP="00E435FD">
      <w:pPr>
        <w:pStyle w:val="ListParagraph"/>
        <w:ind w:left="360" w:right="-720"/>
        <w:rPr>
          <w:b/>
          <w:bCs/>
        </w:rPr>
      </w:pPr>
    </w:p>
    <w:p w14:paraId="739C5158" w14:textId="77777777" w:rsidR="008D4175" w:rsidRDefault="008D4175" w:rsidP="00E435FD">
      <w:pPr>
        <w:pStyle w:val="ListParagraph"/>
        <w:ind w:left="360" w:right="-720"/>
        <w:rPr>
          <w:b/>
          <w:bCs/>
        </w:rPr>
      </w:pPr>
    </w:p>
    <w:p w14:paraId="72791BBA" w14:textId="77777777" w:rsidR="008D4175" w:rsidRDefault="008D4175" w:rsidP="00E435FD">
      <w:pPr>
        <w:pStyle w:val="ListParagraph"/>
        <w:ind w:left="360" w:right="-720"/>
        <w:rPr>
          <w:b/>
          <w:bCs/>
        </w:rPr>
      </w:pPr>
    </w:p>
    <w:p w14:paraId="1D867FDE" w14:textId="77777777" w:rsidR="007351DB" w:rsidRDefault="007351DB" w:rsidP="00E435FD">
      <w:pPr>
        <w:pStyle w:val="ListParagraph"/>
        <w:ind w:left="360" w:right="-720"/>
        <w:rPr>
          <w:b/>
          <w:bCs/>
        </w:rPr>
      </w:pPr>
    </w:p>
    <w:p w14:paraId="54181519" w14:textId="77777777" w:rsidR="007709D0" w:rsidRDefault="007709D0" w:rsidP="00E435FD">
      <w:pPr>
        <w:pStyle w:val="ListParagraph"/>
        <w:ind w:left="360" w:right="-720"/>
        <w:rPr>
          <w:b/>
          <w:bCs/>
        </w:rPr>
      </w:pPr>
    </w:p>
    <w:p w14:paraId="5EC9E2CE" w14:textId="5E0A8188" w:rsidR="00E435FD" w:rsidRPr="00606CCE" w:rsidRDefault="00E435FD" w:rsidP="00E435FD">
      <w:pPr>
        <w:pStyle w:val="ListParagraph"/>
        <w:ind w:left="360" w:right="-720"/>
        <w:rPr>
          <w:b/>
          <w:bCs/>
        </w:rPr>
      </w:pPr>
      <w:r w:rsidRPr="00606CCE">
        <w:rPr>
          <w:b/>
          <w:bCs/>
        </w:rPr>
        <w:lastRenderedPageBreak/>
        <w:t>CREDITS:</w:t>
      </w:r>
    </w:p>
    <w:p w14:paraId="05D54119" w14:textId="77777777" w:rsidR="001C0FA2" w:rsidRPr="003478EE" w:rsidRDefault="001C0FA2" w:rsidP="001C0FA2">
      <w:pPr>
        <w:ind w:left="360" w:right="-720"/>
      </w:pPr>
      <w:r w:rsidRPr="003478EE">
        <w:t xml:space="preserve">We issue credits in the form of a check to clients a month after the client has completed counseling and all insurance payments have been received. </w:t>
      </w:r>
    </w:p>
    <w:p w14:paraId="111081DB" w14:textId="77777777" w:rsidR="00E435FD" w:rsidRPr="003478EE" w:rsidRDefault="00E435FD" w:rsidP="00E435FD">
      <w:pPr>
        <w:ind w:left="360" w:right="-720"/>
      </w:pPr>
    </w:p>
    <w:p w14:paraId="41525D04" w14:textId="77777777" w:rsidR="00E435FD" w:rsidRPr="003478EE" w:rsidRDefault="00E435FD" w:rsidP="00E435FD">
      <w:pPr>
        <w:ind w:left="360" w:right="-720"/>
        <w:rPr>
          <w:b/>
        </w:rPr>
      </w:pPr>
      <w:r>
        <w:rPr>
          <w:b/>
        </w:rPr>
        <w:t>SCHOOL &amp; WORK NOTES:</w:t>
      </w:r>
    </w:p>
    <w:p w14:paraId="0FC7449D" w14:textId="77777777" w:rsidR="00E435FD" w:rsidRPr="003478EE" w:rsidRDefault="00E435FD" w:rsidP="00E435FD">
      <w:pPr>
        <w:ind w:left="360" w:right="-720"/>
      </w:pPr>
      <w:r w:rsidRPr="003478EE">
        <w:t>School and work notes are available</w:t>
      </w:r>
      <w:r>
        <w:t xml:space="preserve"> from your provider</w:t>
      </w:r>
      <w:r w:rsidRPr="003478EE">
        <w:t xml:space="preserve"> at the time of rescheduling.</w:t>
      </w:r>
    </w:p>
    <w:p w14:paraId="6A9FEC8F" w14:textId="77777777" w:rsidR="00E435FD" w:rsidRPr="003478EE" w:rsidRDefault="00E435FD" w:rsidP="00E435FD">
      <w:pPr>
        <w:ind w:left="360" w:right="-720"/>
      </w:pPr>
    </w:p>
    <w:p w14:paraId="14432CA1" w14:textId="77777777" w:rsidR="00E435FD" w:rsidRPr="003478EE" w:rsidRDefault="00E435FD" w:rsidP="00E435FD">
      <w:pPr>
        <w:ind w:left="360" w:right="-720"/>
        <w:rPr>
          <w:b/>
        </w:rPr>
      </w:pPr>
      <w:r>
        <w:rPr>
          <w:b/>
        </w:rPr>
        <w:t>PORTAL MESSAGES &amp; EMAILS:</w:t>
      </w:r>
    </w:p>
    <w:p w14:paraId="7013C792" w14:textId="08BF0DE1" w:rsidR="00E435FD" w:rsidRPr="003478EE" w:rsidRDefault="00E435FD" w:rsidP="00E435FD">
      <w:pPr>
        <w:ind w:left="360" w:right="-720"/>
      </w:pPr>
      <w:r w:rsidRPr="003478EE">
        <w:t xml:space="preserve">For </w:t>
      </w:r>
      <w:r w:rsidR="00B06C32">
        <w:t xml:space="preserve">providers </w:t>
      </w:r>
      <w:r w:rsidRPr="003478EE">
        <w:t xml:space="preserve">working with </w:t>
      </w:r>
      <w:r w:rsidR="007351DB">
        <w:t>minors</w:t>
      </w:r>
      <w:r w:rsidRPr="003478EE">
        <w:t xml:space="preserve">, a message through the portal </w:t>
      </w:r>
      <w:r>
        <w:t xml:space="preserve">or by email </w:t>
      </w:r>
      <w:r w:rsidRPr="003478EE">
        <w:t xml:space="preserve">is </w:t>
      </w:r>
      <w:r>
        <w:t>recommended</w:t>
      </w:r>
      <w:r w:rsidRPr="003478EE">
        <w:t xml:space="preserve"> before each session that is attended by the child individually. Messages need to be received by the morning of the child’s appointment. </w:t>
      </w:r>
    </w:p>
    <w:p w14:paraId="41DC16E3" w14:textId="77777777" w:rsidR="00E435FD" w:rsidRPr="003478EE" w:rsidRDefault="00E435FD" w:rsidP="00E435FD">
      <w:pPr>
        <w:ind w:left="360" w:right="-720"/>
        <w:rPr>
          <w:b/>
        </w:rPr>
      </w:pPr>
    </w:p>
    <w:p w14:paraId="3366DD34" w14:textId="77777777" w:rsidR="00E435FD" w:rsidRPr="003478EE" w:rsidRDefault="00E435FD" w:rsidP="00E435FD">
      <w:pPr>
        <w:ind w:left="360" w:right="-720"/>
        <w:rPr>
          <w:b/>
        </w:rPr>
      </w:pPr>
      <w:r>
        <w:rPr>
          <w:b/>
        </w:rPr>
        <w:t>RELEASE OF INFORMATION:</w:t>
      </w:r>
    </w:p>
    <w:p w14:paraId="0C40EC76" w14:textId="586F10BA" w:rsidR="00E435FD" w:rsidRPr="003478EE" w:rsidRDefault="00E435FD" w:rsidP="00E435FD">
      <w:pPr>
        <w:ind w:left="360" w:right="-720"/>
      </w:pPr>
      <w:r w:rsidRPr="003478EE">
        <w:t xml:space="preserve">We require </w:t>
      </w:r>
      <w:r w:rsidR="00624ED9">
        <w:t>a release of information</w:t>
      </w:r>
      <w:r w:rsidRPr="003478EE">
        <w:t xml:space="preserve"> to be signed before any information regarding a client is released whether verbally or written from our office to any physician, school personnel, etc.</w:t>
      </w:r>
    </w:p>
    <w:p w14:paraId="31BC12CE" w14:textId="77777777" w:rsidR="00E435FD" w:rsidRPr="003478EE" w:rsidRDefault="00E435FD" w:rsidP="00E435FD">
      <w:pPr>
        <w:ind w:right="-720"/>
      </w:pPr>
    </w:p>
    <w:p w14:paraId="172A3B8F" w14:textId="77777777" w:rsidR="00E435FD" w:rsidRPr="003478EE" w:rsidRDefault="00E435FD" w:rsidP="00E435FD">
      <w:pPr>
        <w:ind w:left="360" w:right="-720"/>
        <w:rPr>
          <w:b/>
        </w:rPr>
      </w:pPr>
      <w:r>
        <w:rPr>
          <w:b/>
        </w:rPr>
        <w:t>EMERGENCIES:</w:t>
      </w:r>
    </w:p>
    <w:p w14:paraId="4A3BA4CE" w14:textId="77777777" w:rsidR="00E435FD" w:rsidRPr="00913D72" w:rsidRDefault="00E435FD" w:rsidP="00E435FD">
      <w:pPr>
        <w:spacing w:line="240" w:lineRule="auto"/>
        <w:ind w:left="360"/>
      </w:pPr>
      <w:r w:rsidRPr="00913D72">
        <w:t>For after</w:t>
      </w:r>
      <w:r>
        <w:t>-</w:t>
      </w:r>
      <w:r w:rsidRPr="00913D72">
        <w:t xml:space="preserve">hours emergencies, </w:t>
      </w:r>
      <w:r w:rsidRPr="00913D72">
        <w:rPr>
          <w:b/>
          <w:bCs/>
        </w:rPr>
        <w:t>call 911</w:t>
      </w:r>
      <w:r w:rsidRPr="00913D72">
        <w:t xml:space="preserve"> or Contact Hotline at </w:t>
      </w:r>
      <w:r w:rsidRPr="00543BCC">
        <w:rPr>
          <w:b/>
          <w:bCs/>
        </w:rPr>
        <w:t>(817) 335-3022 – Tarrant</w:t>
      </w:r>
      <w:r w:rsidRPr="00913D72">
        <w:t>.</w:t>
      </w:r>
    </w:p>
    <w:p w14:paraId="6D2E5417" w14:textId="77777777" w:rsidR="00E435FD" w:rsidRPr="002207CD" w:rsidRDefault="00E435FD" w:rsidP="00E435FD">
      <w:pPr>
        <w:spacing w:line="240" w:lineRule="auto"/>
        <w:ind w:left="360"/>
      </w:pPr>
      <w:r>
        <w:t xml:space="preserve">National Hotline: </w:t>
      </w:r>
      <w:r w:rsidRPr="00543BCC">
        <w:rPr>
          <w:b/>
          <w:bCs/>
        </w:rPr>
        <w:t>988</w:t>
      </w:r>
      <w:r>
        <w:rPr>
          <w:b/>
          <w:bCs/>
        </w:rPr>
        <w:t xml:space="preserve">.  </w:t>
      </w:r>
      <w:r>
        <w:t>All</w:t>
      </w:r>
      <w:r w:rsidRPr="00913D72">
        <w:t xml:space="preserve"> hotline</w:t>
      </w:r>
      <w:r>
        <w:t xml:space="preserve"> numbers</w:t>
      </w:r>
      <w:r w:rsidRPr="00913D72">
        <w:t xml:space="preserve"> </w:t>
      </w:r>
      <w:r>
        <w:t>are</w:t>
      </w:r>
      <w:r w:rsidRPr="00913D72">
        <w:t xml:space="preserve"> available 24 hours a day and </w:t>
      </w:r>
      <w:r>
        <w:t>are</w:t>
      </w:r>
      <w:r w:rsidRPr="00913D72">
        <w:t xml:space="preserve"> free.</w:t>
      </w:r>
    </w:p>
    <w:p w14:paraId="255CEDB8" w14:textId="77777777" w:rsidR="00E435FD" w:rsidRDefault="00E435FD" w:rsidP="00E435FD">
      <w:pPr>
        <w:autoSpaceDE w:val="0"/>
        <w:autoSpaceDN w:val="0"/>
        <w:adjustRightInd w:val="0"/>
        <w:ind w:right="-720"/>
        <w:rPr>
          <w:b/>
          <w:bCs/>
        </w:rPr>
      </w:pPr>
      <w:r>
        <w:rPr>
          <w:b/>
          <w:bCs/>
        </w:rPr>
        <w:t xml:space="preserve">    </w:t>
      </w:r>
    </w:p>
    <w:p w14:paraId="79186CF4" w14:textId="77777777" w:rsidR="00E435FD" w:rsidRPr="003478EE" w:rsidRDefault="00E435FD" w:rsidP="00E435FD">
      <w:pPr>
        <w:autoSpaceDE w:val="0"/>
        <w:autoSpaceDN w:val="0"/>
        <w:adjustRightInd w:val="0"/>
        <w:ind w:right="-720" w:firstLine="360"/>
      </w:pPr>
      <w:r>
        <w:rPr>
          <w:b/>
          <w:bCs/>
        </w:rPr>
        <w:t xml:space="preserve"> </w:t>
      </w:r>
      <w:r w:rsidRPr="003478EE">
        <w:rPr>
          <w:b/>
          <w:bCs/>
        </w:rPr>
        <w:t>LIMITS OF CONFIDENTIALITY:</w:t>
      </w:r>
    </w:p>
    <w:p w14:paraId="3918C6ED" w14:textId="2456A828" w:rsidR="00E435FD" w:rsidRPr="006F5C7D" w:rsidRDefault="00E435FD" w:rsidP="00E435FD">
      <w:pPr>
        <w:autoSpaceDE w:val="0"/>
        <w:autoSpaceDN w:val="0"/>
        <w:adjustRightInd w:val="0"/>
        <w:ind w:left="360" w:right="-720"/>
      </w:pPr>
      <w:r w:rsidRPr="006F5C7D">
        <w:t xml:space="preserve">Discussions between </w:t>
      </w:r>
      <w:r w:rsidR="00CB1B95" w:rsidRPr="006F5C7D">
        <w:t>the provider</w:t>
      </w:r>
      <w:r w:rsidRPr="006F5C7D">
        <w:t xml:space="preserve"> and client are confidential. No information will be released without the client</w:t>
      </w:r>
      <w:r w:rsidR="00823C9E" w:rsidRPr="006F5C7D">
        <w:t xml:space="preserve"> or guardian</w:t>
      </w:r>
      <w:r w:rsidRPr="006F5C7D">
        <w:t>'s written consent unless mandated by law. Possible exceptions to confidentiality include but are not limited to the following situations:</w:t>
      </w:r>
    </w:p>
    <w:p w14:paraId="0694365C"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child abuse</w:t>
      </w:r>
    </w:p>
    <w:p w14:paraId="7EF62D1A"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abuse of the elderly or disabled</w:t>
      </w:r>
    </w:p>
    <w:p w14:paraId="452D3BCD"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abuse of patients in mental health facilities</w:t>
      </w:r>
    </w:p>
    <w:p w14:paraId="735BFCF7"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sexual exploitation</w:t>
      </w:r>
    </w:p>
    <w:p w14:paraId="2B04733D"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criminal prosecutions</w:t>
      </w:r>
    </w:p>
    <w:p w14:paraId="64C5A707"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child custody cases</w:t>
      </w:r>
    </w:p>
    <w:p w14:paraId="0DA59668" w14:textId="77777777" w:rsidR="00E435FD" w:rsidRPr="006F5C7D" w:rsidRDefault="00E435FD" w:rsidP="00E435FD">
      <w:pPr>
        <w:pStyle w:val="ListParagraph"/>
        <w:numPr>
          <w:ilvl w:val="0"/>
          <w:numId w:val="1"/>
        </w:numPr>
        <w:autoSpaceDE w:val="0"/>
        <w:autoSpaceDN w:val="0"/>
        <w:adjustRightInd w:val="0"/>
        <w:spacing w:line="276" w:lineRule="auto"/>
        <w:ind w:left="360" w:right="-720" w:firstLine="0"/>
      </w:pPr>
      <w:r w:rsidRPr="006F5C7D">
        <w:t>suits in which the mental health of a party is in issue</w:t>
      </w:r>
    </w:p>
    <w:p w14:paraId="2487C59C" w14:textId="3DDB0491" w:rsidR="00E435FD" w:rsidRPr="006F5C7D" w:rsidRDefault="00E435FD" w:rsidP="00E435FD">
      <w:pPr>
        <w:pStyle w:val="ListParagraph"/>
        <w:numPr>
          <w:ilvl w:val="0"/>
          <w:numId w:val="1"/>
        </w:numPr>
        <w:autoSpaceDE w:val="0"/>
        <w:autoSpaceDN w:val="0"/>
        <w:adjustRightInd w:val="0"/>
        <w:spacing w:line="276" w:lineRule="auto"/>
        <w:ind w:left="360" w:right="-720" w:firstLine="0"/>
        <w:rPr>
          <w:b/>
          <w:noProof/>
        </w:rPr>
      </w:pPr>
      <w:r w:rsidRPr="006F5C7D">
        <w:t>situations where the</w:t>
      </w:r>
      <w:r w:rsidR="00CC393C" w:rsidRPr="006F5C7D">
        <w:t xml:space="preserve"> provider</w:t>
      </w:r>
      <w:r w:rsidRPr="006F5C7D">
        <w:t xml:space="preserve"> has a duty to disclose, or where, in the </w:t>
      </w:r>
      <w:r w:rsidR="00CC393C" w:rsidRPr="006F5C7D">
        <w:t>provider’s</w:t>
      </w:r>
      <w:r w:rsidRPr="006F5C7D">
        <w:t xml:space="preserve"> judgment, it is necessary to warn or disclose (fee disputes between the </w:t>
      </w:r>
      <w:r w:rsidR="00075B2C">
        <w:t>provider</w:t>
      </w:r>
      <w:r w:rsidRPr="006F5C7D">
        <w:t xml:space="preserve"> and the client; a negligence suit brought by the client against the </w:t>
      </w:r>
      <w:r w:rsidR="00075B2C">
        <w:t>provider</w:t>
      </w:r>
      <w:r w:rsidRPr="006F5C7D">
        <w:t>; or the filing of a complaint with the licensing or certifying board.)</w:t>
      </w:r>
    </w:p>
    <w:p w14:paraId="4BF9BA32" w14:textId="3302D56F" w:rsidR="00A5724D" w:rsidRPr="00CB30C4" w:rsidRDefault="00A5724D" w:rsidP="00A5724D">
      <w:pPr>
        <w:spacing w:line="360" w:lineRule="auto"/>
      </w:pPr>
      <w:r>
        <w:t xml:space="preserve">    </w:t>
      </w:r>
    </w:p>
    <w:p w14:paraId="0FF8FFF2" w14:textId="77777777" w:rsidR="00074F9E" w:rsidRDefault="00074F9E"/>
    <w:sectPr w:rsidR="00074F9E" w:rsidSect="00A5724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450" w:left="144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153C0" w14:textId="77777777" w:rsidR="006D0035" w:rsidRDefault="006D0035" w:rsidP="00780053">
      <w:pPr>
        <w:spacing w:line="240" w:lineRule="auto"/>
      </w:pPr>
      <w:r>
        <w:separator/>
      </w:r>
    </w:p>
  </w:endnote>
  <w:endnote w:type="continuationSeparator" w:id="0">
    <w:p w14:paraId="39DEAA28" w14:textId="77777777" w:rsidR="006D0035" w:rsidRDefault="006D0035" w:rsidP="00780053">
      <w:pPr>
        <w:spacing w:line="240" w:lineRule="auto"/>
      </w:pPr>
      <w:r>
        <w:continuationSeparator/>
      </w:r>
    </w:p>
  </w:endnote>
  <w:endnote w:type="continuationNotice" w:id="1">
    <w:p w14:paraId="62EC47A0" w14:textId="77777777" w:rsidR="006D0035" w:rsidRDefault="006D0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Myriad Pro">
    <w:altName w:val="Cambri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7974838"/>
      <w:docPartObj>
        <w:docPartGallery w:val="Page Numbers (Bottom of Page)"/>
        <w:docPartUnique/>
      </w:docPartObj>
    </w:sdtPr>
    <w:sdtContent>
      <w:p w14:paraId="0B1A4D8A" w14:textId="0174757A" w:rsidR="00780053" w:rsidRDefault="00780053" w:rsidP="00377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9D83" w14:textId="77777777" w:rsidR="00780053" w:rsidRDefault="00780053" w:rsidP="00780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B0F3" w14:textId="2585FE9D" w:rsidR="00925AA8" w:rsidRDefault="00925AA8" w:rsidP="007800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5953" w14:textId="77777777" w:rsidR="00780053" w:rsidRDefault="0078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75FBB" w14:textId="77777777" w:rsidR="006D0035" w:rsidRDefault="006D0035" w:rsidP="00780053">
      <w:pPr>
        <w:spacing w:line="240" w:lineRule="auto"/>
      </w:pPr>
      <w:r>
        <w:separator/>
      </w:r>
    </w:p>
  </w:footnote>
  <w:footnote w:type="continuationSeparator" w:id="0">
    <w:p w14:paraId="793CFB6F" w14:textId="77777777" w:rsidR="006D0035" w:rsidRDefault="006D0035" w:rsidP="00780053">
      <w:pPr>
        <w:spacing w:line="240" w:lineRule="auto"/>
      </w:pPr>
      <w:r>
        <w:continuationSeparator/>
      </w:r>
    </w:p>
  </w:footnote>
  <w:footnote w:type="continuationNotice" w:id="1">
    <w:p w14:paraId="558DBF5D" w14:textId="77777777" w:rsidR="006D0035" w:rsidRDefault="006D0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E914" w14:textId="77777777" w:rsidR="00780053" w:rsidRDefault="0078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DBEB" w14:textId="77777777" w:rsidR="00925AA8" w:rsidRPr="00E3477B" w:rsidRDefault="00925AA8" w:rsidP="00B81531">
    <w:pPr>
      <w:spacing w:line="272" w:lineRule="exact"/>
      <w:ind w:right="-56"/>
      <w:jc w:val="center"/>
      <w:rPr>
        <w:rFonts w:asciiTheme="minorHAnsi" w:eastAsia="Myriad Pro" w:hAnsiTheme="minorHAnsi" w:cs="Myriad Pro"/>
      </w:rPr>
    </w:pPr>
    <w:r>
      <w:rPr>
        <w:rFonts w:asciiTheme="minorHAnsi" w:eastAsia="Myriad Pro" w:hAnsiTheme="minorHAnsi" w:cs="Myriad Pro"/>
        <w:b/>
        <w:bCs/>
        <w:noProof/>
        <w:color w:val="159FC0"/>
        <w:spacing w:val="-2"/>
        <w:position w:val="1"/>
      </w:rPr>
      <w:drawing>
        <wp:anchor distT="0" distB="0" distL="114300" distR="114300" simplePos="0" relativeHeight="251658240" behindDoc="1" locked="0" layoutInCell="1" allowOverlap="1" wp14:anchorId="4CAA05C9" wp14:editId="31ACDB18">
          <wp:simplePos x="0" y="0"/>
          <wp:positionH relativeFrom="page">
            <wp:posOffset>661780</wp:posOffset>
          </wp:positionH>
          <wp:positionV relativeFrom="page">
            <wp:posOffset>284922</wp:posOffset>
          </wp:positionV>
          <wp:extent cx="1339298" cy="80838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9298" cy="808382"/>
                  </a:xfrm>
                  <a:prstGeom prst="rect">
                    <a:avLst/>
                  </a:prstGeom>
                  <a:noFill/>
                </pic:spPr>
              </pic:pic>
            </a:graphicData>
          </a:graphic>
        </wp:anchor>
      </w:drawing>
    </w:r>
    <w:r w:rsidRPr="00E3477B">
      <w:rPr>
        <w:rFonts w:asciiTheme="minorHAnsi" w:eastAsia="Myriad Pro" w:hAnsiTheme="minorHAnsi" w:cs="Myriad Pro"/>
        <w:b/>
        <w:bCs/>
        <w:color w:val="159FC0"/>
        <w:spacing w:val="-2"/>
        <w:position w:val="1"/>
      </w:rPr>
      <w:t>C</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1"/>
        <w:position w:val="1"/>
      </w:rPr>
      <w:t>N</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position w:val="1"/>
      </w:rPr>
      <w:t xml:space="preserve">R </w:t>
    </w:r>
    <w:r w:rsidRPr="00E3477B">
      <w:rPr>
        <w:rFonts w:asciiTheme="minorHAnsi" w:eastAsia="Myriad Pro" w:hAnsiTheme="minorHAnsi" w:cs="Myriad Pro"/>
        <w:b/>
        <w:bCs/>
        <w:color w:val="159FC0"/>
        <w:spacing w:val="-4"/>
        <w:position w:val="1"/>
      </w:rPr>
      <w:t>F</w:t>
    </w:r>
    <w:r w:rsidRPr="00E3477B">
      <w:rPr>
        <w:rFonts w:asciiTheme="minorHAnsi" w:eastAsia="Myriad Pro" w:hAnsiTheme="minorHAnsi" w:cs="Myriad Pro"/>
        <w:b/>
        <w:bCs/>
        <w:color w:val="159FC0"/>
        <w:position w:val="1"/>
      </w:rPr>
      <w:t xml:space="preserve">OR </w:t>
    </w:r>
    <w:r w:rsidRPr="00E3477B">
      <w:rPr>
        <w:rFonts w:asciiTheme="minorHAnsi" w:eastAsia="Myriad Pro" w:hAnsiTheme="minorHAnsi" w:cs="Myriad Pro"/>
        <w:b/>
        <w:bCs/>
        <w:color w:val="159FC0"/>
        <w:spacing w:val="-6"/>
        <w:position w:val="1"/>
      </w:rPr>
      <w:t>C</w:t>
    </w:r>
    <w:r w:rsidRPr="00E3477B">
      <w:rPr>
        <w:rFonts w:asciiTheme="minorHAnsi" w:eastAsia="Myriad Pro" w:hAnsiTheme="minorHAnsi" w:cs="Myriad Pro"/>
        <w:b/>
        <w:bCs/>
        <w:color w:val="159FC0"/>
        <w:position w:val="1"/>
      </w:rPr>
      <w:t>OU</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position w:val="1"/>
      </w:rPr>
      <w:t xml:space="preserve">ING &amp; </w:t>
    </w:r>
    <w:r w:rsidRPr="00E3477B">
      <w:rPr>
        <w:rFonts w:asciiTheme="minorHAnsi" w:eastAsia="Myriad Pro" w:hAnsiTheme="minorHAnsi" w:cs="Myriad Pro"/>
        <w:b/>
        <w:bCs/>
        <w:color w:val="159FC0"/>
        <w:spacing w:val="-12"/>
        <w:position w:val="1"/>
      </w:rPr>
      <w:t>F</w:t>
    </w:r>
    <w:r w:rsidRPr="00E3477B">
      <w:rPr>
        <w:rFonts w:asciiTheme="minorHAnsi" w:eastAsia="Myriad Pro" w:hAnsiTheme="minorHAnsi" w:cs="Myriad Pro"/>
        <w:b/>
        <w:bCs/>
        <w:color w:val="159FC0"/>
        <w:spacing w:val="-1"/>
        <w:position w:val="1"/>
      </w:rPr>
      <w:t>A</w:t>
    </w:r>
    <w:r w:rsidRPr="00E3477B">
      <w:rPr>
        <w:rFonts w:asciiTheme="minorHAnsi" w:eastAsia="Myriad Pro" w:hAnsiTheme="minorHAnsi" w:cs="Myriad Pro"/>
        <w:b/>
        <w:bCs/>
        <w:color w:val="159FC0"/>
        <w:spacing w:val="1"/>
        <w:position w:val="1"/>
      </w:rPr>
      <w:t>M</w:t>
    </w:r>
    <w:r w:rsidRPr="00E3477B">
      <w:rPr>
        <w:rFonts w:asciiTheme="minorHAnsi" w:eastAsia="Myriad Pro" w:hAnsiTheme="minorHAnsi" w:cs="Myriad Pro"/>
        <w:b/>
        <w:bCs/>
        <w:color w:val="159FC0"/>
        <w:position w:val="1"/>
      </w:rPr>
      <w:t>I</w:t>
    </w:r>
    <w:r w:rsidRPr="00E3477B">
      <w:rPr>
        <w:rFonts w:asciiTheme="minorHAnsi" w:eastAsia="Myriad Pro" w:hAnsiTheme="minorHAnsi" w:cs="Myriad Pro"/>
        <w:b/>
        <w:bCs/>
        <w:color w:val="159FC0"/>
        <w:spacing w:val="-22"/>
        <w:position w:val="1"/>
      </w:rPr>
      <w:t>L</w:t>
    </w:r>
    <w:r w:rsidRPr="00E3477B">
      <w:rPr>
        <w:rFonts w:asciiTheme="minorHAnsi" w:eastAsia="Myriad Pro" w:hAnsiTheme="minorHAnsi" w:cs="Myriad Pro"/>
        <w:b/>
        <w:bCs/>
        <w:color w:val="159FC0"/>
        <w:position w:val="1"/>
      </w:rPr>
      <w:t xml:space="preserve">Y </w:t>
    </w:r>
    <w:r w:rsidRPr="00E3477B">
      <w:rPr>
        <w:rFonts w:asciiTheme="minorHAnsi" w:eastAsia="Myriad Pro" w:hAnsiTheme="minorHAnsi" w:cs="Myriad Pro"/>
        <w:b/>
        <w:bCs/>
        <w:color w:val="159FC0"/>
        <w:spacing w:val="1"/>
        <w:position w:val="1"/>
      </w:rPr>
      <w:t>RE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spacing w:val="-16"/>
        <w:position w:val="1"/>
      </w:rPr>
      <w:t>A</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position w:val="1"/>
      </w:rPr>
      <w:t>IO</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position w:val="1"/>
      </w:rPr>
      <w:t>HI</w:t>
    </w:r>
    <w:r w:rsidRPr="00E3477B">
      <w:rPr>
        <w:rFonts w:asciiTheme="minorHAnsi" w:eastAsia="Myriad Pro" w:hAnsiTheme="minorHAnsi" w:cs="Myriad Pro"/>
        <w:b/>
        <w:bCs/>
        <w:color w:val="159FC0"/>
        <w:spacing w:val="-1"/>
        <w:position w:val="1"/>
      </w:rPr>
      <w:t>P</w:t>
    </w:r>
    <w:r w:rsidRPr="00E3477B">
      <w:rPr>
        <w:rFonts w:asciiTheme="minorHAnsi" w:eastAsia="Myriad Pro" w:hAnsiTheme="minorHAnsi" w:cs="Myriad Pro"/>
        <w:b/>
        <w:bCs/>
        <w:color w:val="159FC0"/>
        <w:position w:val="1"/>
      </w:rPr>
      <w:t>S</w:t>
    </w:r>
  </w:p>
  <w:p w14:paraId="3FC99259" w14:textId="77777777" w:rsidR="00925AA8" w:rsidRPr="00E3477B" w:rsidRDefault="00925AA8" w:rsidP="00B81531">
    <w:pPr>
      <w:spacing w:line="230" w:lineRule="exact"/>
      <w:ind w:right="-20"/>
      <w:jc w:val="center"/>
      <w:rPr>
        <w:rFonts w:asciiTheme="minorHAnsi" w:eastAsia="Myriad Pro" w:hAnsiTheme="minorHAnsi" w:cs="Myriad Pro"/>
        <w:sz w:val="20"/>
        <w:szCs w:val="20"/>
      </w:rPr>
    </w:pPr>
    <w:r>
      <w:rPr>
        <w:rFonts w:asciiTheme="minorHAnsi" w:eastAsia="Myriad Pro" w:hAnsiTheme="minorHAnsi" w:cs="Myriad Pro"/>
        <w:color w:val="6D6E71"/>
        <w:sz w:val="20"/>
        <w:szCs w:val="20"/>
      </w:rPr>
      <w:t>4500 Mercantile Plaza Dr. Ste. 307</w:t>
    </w:r>
    <w:r w:rsidRPr="00E3477B">
      <w:rPr>
        <w:rFonts w:asciiTheme="minorHAnsi" w:eastAsia="Myriad Pro" w:hAnsiTheme="minorHAnsi" w:cs="Myriad Pro"/>
        <w:color w:val="6D6E71"/>
        <w:sz w:val="20"/>
        <w:szCs w:val="20"/>
      </w:rPr>
      <w:t xml:space="preserve"> Fort Worth, TX 76137</w:t>
    </w:r>
  </w:p>
  <w:p w14:paraId="33004137" w14:textId="77777777" w:rsidR="00925AA8" w:rsidRPr="0054593E" w:rsidRDefault="00925AA8" w:rsidP="00B81531">
    <w:pPr>
      <w:spacing w:line="240" w:lineRule="auto"/>
      <w:ind w:left="720" w:right="1369" w:firstLine="720"/>
      <w:jc w:val="center"/>
      <w:rPr>
        <w:rFonts w:asciiTheme="minorHAnsi" w:eastAsia="Myriad Pro" w:hAnsiTheme="minorHAnsi" w:cs="Myriad Pro"/>
        <w:color w:val="6D6E71"/>
        <w:sz w:val="20"/>
        <w:szCs w:val="20"/>
      </w:rPr>
    </w:pPr>
    <w:r w:rsidRPr="0054593E">
      <w:rPr>
        <w:rFonts w:asciiTheme="minorHAnsi" w:eastAsia="Myriad Pro" w:hAnsiTheme="minorHAnsi" w:cs="Myriad Pro"/>
        <w:color w:val="6D6E71"/>
        <w:spacing w:val="1"/>
        <w:sz w:val="20"/>
        <w:szCs w:val="20"/>
      </w:rPr>
      <w:t>Me</w:t>
    </w:r>
    <w:r w:rsidRPr="0054593E">
      <w:rPr>
        <w:rFonts w:asciiTheme="minorHAnsi" w:eastAsia="Myriad Pro" w:hAnsiTheme="minorHAnsi" w:cs="Myriad Pro"/>
        <w:color w:val="6D6E71"/>
        <w:sz w:val="20"/>
        <w:szCs w:val="20"/>
      </w:rPr>
      <w:t>t</w:t>
    </w:r>
    <w:r w:rsidRPr="0054593E">
      <w:rPr>
        <w:rFonts w:asciiTheme="minorHAnsi" w:eastAsia="Myriad Pro" w:hAnsiTheme="minorHAnsi" w:cs="Myriad Pro"/>
        <w:color w:val="6D6E71"/>
        <w:spacing w:val="-1"/>
        <w:sz w:val="20"/>
        <w:szCs w:val="20"/>
      </w:rPr>
      <w:t>r</w:t>
    </w:r>
    <w:r w:rsidRPr="0054593E">
      <w:rPr>
        <w:rFonts w:asciiTheme="minorHAnsi" w:eastAsia="Myriad Pro" w:hAnsiTheme="minorHAnsi" w:cs="Myriad Pro"/>
        <w:color w:val="6D6E71"/>
        <w:spacing w:val="-2"/>
        <w:sz w:val="20"/>
        <w:szCs w:val="20"/>
      </w:rPr>
      <w:t>o</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40</w:t>
    </w:r>
    <w:r w:rsidRPr="0054593E">
      <w:rPr>
        <w:rFonts w:asciiTheme="minorHAnsi" w:eastAsia="Myriad Pro" w:hAnsiTheme="minorHAnsi" w:cs="Myriad Pro"/>
        <w:color w:val="6D6E71"/>
        <w:sz w:val="20"/>
        <w:szCs w:val="20"/>
      </w:rPr>
      <w:t xml:space="preserve">0 </w:t>
    </w:r>
    <w:r w:rsidRPr="0054593E">
      <w:rPr>
        <w:rFonts w:asciiTheme="minorHAnsi" w:eastAsia="Myriad Pro" w:hAnsiTheme="minorHAnsi" w:cs="Myriad Pro"/>
        <w:color w:val="6D6E71"/>
        <w:spacing w:val="-8"/>
        <w:sz w:val="20"/>
        <w:szCs w:val="20"/>
      </w:rPr>
      <w:t>F</w:t>
    </w:r>
    <w:r w:rsidRPr="0054593E">
      <w:rPr>
        <w:rFonts w:asciiTheme="minorHAnsi" w:eastAsia="Myriad Pro" w:hAnsiTheme="minorHAnsi" w:cs="Myriad Pro"/>
        <w:color w:val="6D6E71"/>
        <w:spacing w:val="2"/>
        <w:sz w:val="20"/>
        <w:szCs w:val="20"/>
      </w:rPr>
      <w:t>ax</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w:t>
    </w:r>
    <w:r w:rsidRPr="0054593E">
      <w:rPr>
        <w:rFonts w:asciiTheme="minorHAnsi" w:eastAsia="Myriad Pro" w:hAnsiTheme="minorHAnsi" w:cs="Myriad Pro"/>
        <w:color w:val="6D6E71"/>
        <w:spacing w:val="-3"/>
        <w:sz w:val="20"/>
        <w:szCs w:val="20"/>
      </w:rPr>
      <w:t>0</w:t>
    </w:r>
    <w:r w:rsidRPr="0054593E">
      <w:rPr>
        <w:rFonts w:asciiTheme="minorHAnsi" w:eastAsia="Myriad Pro" w:hAnsiTheme="minorHAnsi" w:cs="Myriad Pro"/>
        <w:color w:val="6D6E71"/>
        <w:sz w:val="20"/>
        <w:szCs w:val="20"/>
      </w:rPr>
      <w:t>3</w:t>
    </w:r>
  </w:p>
  <w:p w14:paraId="2BD2AF80" w14:textId="77777777" w:rsidR="00925AA8" w:rsidRPr="0054593E" w:rsidRDefault="00925AA8" w:rsidP="00B81531">
    <w:pPr>
      <w:spacing w:line="240" w:lineRule="auto"/>
      <w:ind w:left="720" w:right="1369" w:firstLine="720"/>
      <w:jc w:val="center"/>
      <w:rPr>
        <w:rFonts w:asciiTheme="minorHAnsi" w:eastAsia="Myriad Pro" w:hAnsiTheme="minorHAnsi" w:cs="Myriad Pro"/>
        <w:sz w:val="20"/>
        <w:szCs w:val="20"/>
      </w:rPr>
    </w:pPr>
    <w:r w:rsidRPr="0054593E">
      <w:rPr>
        <w:rFonts w:asciiTheme="minorHAnsi" w:eastAsia="Myriad Pro" w:hAnsiTheme="minorHAnsi" w:cs="Myriad Pro"/>
        <w:color w:val="6D6E71"/>
        <w:sz w:val="20"/>
        <w:szCs w:val="20"/>
      </w:rPr>
      <w:t>offi</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1"/>
        <w:sz w:val="20"/>
        <w:szCs w:val="20"/>
      </w:rPr>
      <w:t>e@</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r:id="rId2" w:history="1">
      <w:r w:rsidRPr="000C5BB6">
        <w:rPr>
          <w:rStyle w:val="Hyperlink"/>
          <w:rFonts w:eastAsia="Myriad Pro" w:cs="Myriad Pro"/>
          <w:spacing w:val="-2"/>
          <w:sz w:val="20"/>
          <w:szCs w:val="20"/>
        </w:rPr>
        <w:t xml:space="preserve"> https://c</w:t>
      </w:r>
      <w:r w:rsidRPr="000C5BB6">
        <w:rPr>
          <w:rStyle w:val="Hyperlink"/>
          <w:rFonts w:eastAsia="Myriad Pro" w:cs="Myriad Pro"/>
          <w:spacing w:val="5"/>
          <w:sz w:val="20"/>
          <w:szCs w:val="20"/>
        </w:rPr>
        <w:t>c</w:t>
      </w:r>
      <w:r w:rsidRPr="000C5BB6">
        <w:rPr>
          <w:rStyle w:val="Hyperlink"/>
          <w:rFonts w:eastAsia="Myriad Pro" w:cs="Myriad Pro"/>
          <w:spacing w:val="2"/>
          <w:sz w:val="20"/>
          <w:szCs w:val="20"/>
        </w:rPr>
        <w:t>f</w:t>
      </w:r>
      <w:r w:rsidRPr="000C5BB6">
        <w:rPr>
          <w:rStyle w:val="Hyperlink"/>
          <w:rFonts w:eastAsia="Myriad Pro" w:cs="Myriad Pro"/>
          <w:spacing w:val="-1"/>
          <w:sz w:val="20"/>
          <w:szCs w:val="20"/>
        </w:rPr>
        <w:t>a</w:t>
      </w:r>
      <w:r w:rsidRPr="000C5BB6">
        <w:rPr>
          <w:rStyle w:val="Hyperlink"/>
          <w:rFonts w:eastAsia="Myriad Pro" w:cs="Myriad Pro"/>
          <w:spacing w:val="1"/>
          <w:sz w:val="20"/>
          <w:szCs w:val="20"/>
        </w:rPr>
        <w:t>m</w:t>
      </w:r>
      <w:r w:rsidRPr="000C5BB6">
        <w:rPr>
          <w:rStyle w:val="Hyperlink"/>
          <w:rFonts w:eastAsia="Myriad Pro" w:cs="Myriad Pro"/>
          <w:spacing w:val="-1"/>
          <w:sz w:val="20"/>
          <w:szCs w:val="20"/>
        </w:rPr>
        <w:t>.</w:t>
      </w:r>
      <w:r w:rsidRPr="000C5BB6">
        <w:rPr>
          <w:rStyle w:val="Hyperlink"/>
          <w:rFonts w:eastAsia="Myriad Pro" w:cs="Myriad Pro"/>
          <w:spacing w:val="-2"/>
          <w:sz w:val="20"/>
          <w:szCs w:val="20"/>
        </w:rPr>
        <w:t>c</w:t>
      </w:r>
      <w:r w:rsidRPr="000C5BB6">
        <w:rPr>
          <w:rStyle w:val="Hyperlink"/>
          <w:rFonts w:eastAsia="Myriad Pro" w:cs="Myriad Pro"/>
          <w:sz w:val="20"/>
          <w:szCs w:val="20"/>
        </w:rPr>
        <w:t>om</w:t>
      </w:r>
    </w:hyperlink>
  </w:p>
  <w:p w14:paraId="4CA39725" w14:textId="77777777" w:rsidR="00925AA8" w:rsidRDefault="00925AA8">
    <w:pPr>
      <w:pStyle w:val="Header"/>
    </w:pPr>
    <w:r>
      <w:rPr>
        <w:noProof/>
      </w:rPr>
      <mc:AlternateContent>
        <mc:Choice Requires="wpg">
          <w:drawing>
            <wp:anchor distT="0" distB="0" distL="114300" distR="114300" simplePos="0" relativeHeight="251660289" behindDoc="1" locked="0" layoutInCell="1" allowOverlap="1" wp14:anchorId="4F5DF0D9" wp14:editId="61ED9975">
              <wp:simplePos x="0" y="0"/>
              <wp:positionH relativeFrom="page">
                <wp:posOffset>613410</wp:posOffset>
              </wp:positionH>
              <wp:positionV relativeFrom="page">
                <wp:posOffset>1169035</wp:posOffset>
              </wp:positionV>
              <wp:extent cx="6794500" cy="25400"/>
              <wp:effectExtent l="3810" t="63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5400"/>
                        <a:chOff x="820" y="1820"/>
                        <a:chExt cx="10700" cy="40"/>
                      </a:xfrm>
                    </wpg:grpSpPr>
                    <wpg:grpSp>
                      <wpg:cNvPr id="4" name="Group 2"/>
                      <wpg:cNvGrpSpPr>
                        <a:grpSpLocks/>
                      </wpg:cNvGrpSpPr>
                      <wpg:grpSpPr bwMode="auto">
                        <a:xfrm>
                          <a:off x="840" y="1840"/>
                          <a:ext cx="10620" cy="2"/>
                          <a:chOff x="840" y="1840"/>
                          <a:chExt cx="10620" cy="2"/>
                        </a:xfrm>
                      </wpg:grpSpPr>
                      <wps:wsp>
                        <wps:cNvPr id="5" name="Freeform 3"/>
                        <wps:cNvSpPr>
                          <a:spLocks/>
                        </wps:cNvSpPr>
                        <wps:spPr bwMode="auto">
                          <a:xfrm>
                            <a:off x="840" y="1840"/>
                            <a:ext cx="10620" cy="2"/>
                          </a:xfrm>
                          <a:custGeom>
                            <a:avLst/>
                            <a:gdLst>
                              <a:gd name="T0" fmla="+- 0 840 840"/>
                              <a:gd name="T1" fmla="*/ T0 w 10620"/>
                              <a:gd name="T2" fmla="+- 0 11460 840"/>
                              <a:gd name="T3" fmla="*/ T2 w 10620"/>
                            </a:gdLst>
                            <a:ahLst/>
                            <a:cxnLst>
                              <a:cxn ang="0">
                                <a:pos x="T1" y="0"/>
                              </a:cxn>
                              <a:cxn ang="0">
                                <a:pos x="T3" y="0"/>
                              </a:cxn>
                            </a:cxnLst>
                            <a:rect l="0" t="0" r="r" b="b"/>
                            <a:pathLst>
                              <a:path w="10620">
                                <a:moveTo>
                                  <a:pt x="0" y="0"/>
                                </a:moveTo>
                                <a:lnTo>
                                  <a:pt x="10620" y="0"/>
                                </a:lnTo>
                              </a:path>
                            </a:pathLst>
                          </a:custGeom>
                          <a:noFill/>
                          <a:ln w="25400">
                            <a:solidFill>
                              <a:srgbClr val="73B5CF"/>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1520" y="1820"/>
                          <a:ext cx="2" cy="40"/>
                          <a:chOff x="11520" y="1820"/>
                          <a:chExt cx="2" cy="40"/>
                        </a:xfrm>
                      </wpg:grpSpPr>
                      <wps:wsp>
                        <wps:cNvPr id="7" name="Freeform 5"/>
                        <wps:cNvSpPr>
                          <a:spLocks/>
                        </wps:cNvSpPr>
                        <wps:spPr bwMode="auto">
                          <a:xfrm>
                            <a:off x="11520" y="1820"/>
                            <a:ext cx="2" cy="40"/>
                          </a:xfrm>
                          <a:custGeom>
                            <a:avLst/>
                            <a:gdLst>
                              <a:gd name="T0" fmla="+- 0 1820 1820"/>
                              <a:gd name="T1" fmla="*/ 1820 h 40"/>
                              <a:gd name="T2" fmla="+- 0 1860 1820"/>
                              <a:gd name="T3" fmla="*/ 1860 h 40"/>
                            </a:gdLst>
                            <a:ahLst/>
                            <a:cxnLst>
                              <a:cxn ang="0">
                                <a:pos x="0" y="T1"/>
                              </a:cxn>
                              <a:cxn ang="0">
                                <a:pos x="0" y="T3"/>
                              </a:cxn>
                            </a:cxnLst>
                            <a:rect l="0" t="0" r="r" b="b"/>
                            <a:pathLst>
                              <a:path h="40">
                                <a:moveTo>
                                  <a:pt x="0" y="0"/>
                                </a:moveTo>
                                <a:lnTo>
                                  <a:pt x="0" y="40"/>
                                </a:lnTo>
                              </a:path>
                            </a:pathLst>
                          </a:custGeom>
                          <a:noFill/>
                          <a:ln w="0">
                            <a:solidFill>
                              <a:srgbClr val="73B5C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C39AB31" id="Group 3" o:spid="_x0000_s1026" style="position:absolute;margin-left:48.3pt;margin-top:92.05pt;width:535pt;height:2pt;z-index:-251655168;mso-position-horizontal-relative:page;mso-position-vertical-relative:page" coordorigin="820,1820" coordsize="107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">
              <v:group id="Group 2" o:spid="_x0000_s1027" style="position:absolute;left:840;top:1840;width:10620;height:2" coordorigin="840,1840"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3" o:spid="_x0000_s1028" style="position:absolute;left:840;top:1840;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" path="m,l10620,e" filled="f" strokecolor="#73b5cf" strokeweight="2pt">
                  <v:stroke dashstyle="dash"/>
                  <v:path arrowok="t" o:connecttype="custom" o:connectlocs="0,0;10620,0" o:connectangles="0,0"/>
                </v:shape>
              </v:group>
              <v:group id="Group 4" o:spid="_x0000_s1029" style="position:absolute;left:11520;top:1820;width:2;height:40" coordorigin="11520,1820"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5" o:spid="_x0000_s1030" style="position:absolute;left:11520;top:1820;width:2;height:4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" path="m,l,40e" filled="f" strokecolor="#73b5cf" strokeweight="0">
                  <v:path arrowok="t" o:connecttype="custom" o:connectlocs="0,1820;0,1860" o:connectangles="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F3FB" w14:textId="77777777" w:rsidR="00780053" w:rsidRDefault="0078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451EF5"/>
    <w:multiLevelType w:val="hybridMultilevel"/>
    <w:tmpl w:val="14F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99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4D"/>
    <w:rsid w:val="0005294E"/>
    <w:rsid w:val="0005484C"/>
    <w:rsid w:val="00074F9E"/>
    <w:rsid w:val="00075B2C"/>
    <w:rsid w:val="000E4652"/>
    <w:rsid w:val="00125442"/>
    <w:rsid w:val="001B45CF"/>
    <w:rsid w:val="001C0FA2"/>
    <w:rsid w:val="001E6E20"/>
    <w:rsid w:val="00224207"/>
    <w:rsid w:val="00263D68"/>
    <w:rsid w:val="002C3F46"/>
    <w:rsid w:val="00305954"/>
    <w:rsid w:val="003760E5"/>
    <w:rsid w:val="0038746A"/>
    <w:rsid w:val="003A19BB"/>
    <w:rsid w:val="003E0978"/>
    <w:rsid w:val="004104B0"/>
    <w:rsid w:val="0042206A"/>
    <w:rsid w:val="004223EE"/>
    <w:rsid w:val="00506E9E"/>
    <w:rsid w:val="00515286"/>
    <w:rsid w:val="005911A3"/>
    <w:rsid w:val="005B77BC"/>
    <w:rsid w:val="005C618D"/>
    <w:rsid w:val="00617A89"/>
    <w:rsid w:val="00624ED9"/>
    <w:rsid w:val="006A3E3F"/>
    <w:rsid w:val="006A7823"/>
    <w:rsid w:val="006D0035"/>
    <w:rsid w:val="006F5C7D"/>
    <w:rsid w:val="00721D90"/>
    <w:rsid w:val="00723FAD"/>
    <w:rsid w:val="007351DB"/>
    <w:rsid w:val="00752F63"/>
    <w:rsid w:val="007709D0"/>
    <w:rsid w:val="00780053"/>
    <w:rsid w:val="007A5E71"/>
    <w:rsid w:val="00812026"/>
    <w:rsid w:val="00823C9E"/>
    <w:rsid w:val="008930EA"/>
    <w:rsid w:val="008A4A25"/>
    <w:rsid w:val="008D4175"/>
    <w:rsid w:val="008D43DC"/>
    <w:rsid w:val="00910A00"/>
    <w:rsid w:val="00925AA8"/>
    <w:rsid w:val="009D13F2"/>
    <w:rsid w:val="009E6BC9"/>
    <w:rsid w:val="009E7ABE"/>
    <w:rsid w:val="00A40583"/>
    <w:rsid w:val="00A5724D"/>
    <w:rsid w:val="00A93A15"/>
    <w:rsid w:val="00B06C32"/>
    <w:rsid w:val="00BA29C1"/>
    <w:rsid w:val="00BB3466"/>
    <w:rsid w:val="00BC5D7B"/>
    <w:rsid w:val="00C85C96"/>
    <w:rsid w:val="00CB1B95"/>
    <w:rsid w:val="00CC393C"/>
    <w:rsid w:val="00D326C7"/>
    <w:rsid w:val="00D56B95"/>
    <w:rsid w:val="00E435FD"/>
    <w:rsid w:val="00EB1B88"/>
    <w:rsid w:val="00EF2297"/>
    <w:rsid w:val="00F807D1"/>
    <w:rsid w:val="00FB3FCC"/>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414"/>
  <w15:chartTrackingRefBased/>
  <w15:docId w15:val="{8A4FD799-7482-C648-A424-DF9D2A4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4D"/>
    <w:pPr>
      <w:spacing w:line="276" w:lineRule="auto"/>
    </w:pPr>
    <w:rPr>
      <w:rFonts w:cs="Times New Roman"/>
      <w:kern w:val="0"/>
      <w14:ligatures w14:val="none"/>
    </w:rPr>
  </w:style>
  <w:style w:type="paragraph" w:styleId="Heading1">
    <w:name w:val="heading 1"/>
    <w:basedOn w:val="Normal"/>
    <w:next w:val="Normal"/>
    <w:link w:val="Heading1Char"/>
    <w:uiPriority w:val="9"/>
    <w:qFormat/>
    <w:rsid w:val="00A572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2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24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24D"/>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24D"/>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24D"/>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24D"/>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24D"/>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24D"/>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4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2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4D"/>
    <w:pPr>
      <w:spacing w:before="160" w:after="160" w:line="240" w:lineRule="auto"/>
      <w:jc w:val="center"/>
    </w:pPr>
    <w:rPr>
      <w:rFonts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A5724D"/>
    <w:rPr>
      <w:i/>
      <w:iCs/>
      <w:color w:val="404040" w:themeColor="text1" w:themeTint="BF"/>
    </w:rPr>
  </w:style>
  <w:style w:type="paragraph" w:styleId="ListParagraph">
    <w:name w:val="List Paragraph"/>
    <w:basedOn w:val="Normal"/>
    <w:uiPriority w:val="34"/>
    <w:qFormat/>
    <w:rsid w:val="00A5724D"/>
    <w:pPr>
      <w:spacing w:line="240" w:lineRule="auto"/>
      <w:ind w:left="720"/>
      <w:contextualSpacing/>
    </w:pPr>
    <w:rPr>
      <w:rFonts w:cs="Times New Roman (Body CS)"/>
      <w:kern w:val="2"/>
      <w14:ligatures w14:val="standardContextual"/>
    </w:rPr>
  </w:style>
  <w:style w:type="character" w:styleId="IntenseEmphasis">
    <w:name w:val="Intense Emphasis"/>
    <w:basedOn w:val="DefaultParagraphFont"/>
    <w:uiPriority w:val="21"/>
    <w:qFormat/>
    <w:rsid w:val="00A5724D"/>
    <w:rPr>
      <w:i/>
      <w:iCs/>
      <w:color w:val="0F4761" w:themeColor="accent1" w:themeShade="BF"/>
    </w:rPr>
  </w:style>
  <w:style w:type="paragraph" w:styleId="IntenseQuote">
    <w:name w:val="Intense Quote"/>
    <w:basedOn w:val="Normal"/>
    <w:next w:val="Normal"/>
    <w:link w:val="IntenseQuoteChar"/>
    <w:uiPriority w:val="30"/>
    <w:qFormat/>
    <w:rsid w:val="00A5724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24D"/>
    <w:rPr>
      <w:i/>
      <w:iCs/>
      <w:color w:val="0F4761" w:themeColor="accent1" w:themeShade="BF"/>
    </w:rPr>
  </w:style>
  <w:style w:type="character" w:styleId="IntenseReference">
    <w:name w:val="Intense Reference"/>
    <w:basedOn w:val="DefaultParagraphFont"/>
    <w:uiPriority w:val="32"/>
    <w:qFormat/>
    <w:rsid w:val="00A5724D"/>
    <w:rPr>
      <w:b/>
      <w:bCs/>
      <w:smallCaps/>
      <w:color w:val="0F4761" w:themeColor="accent1" w:themeShade="BF"/>
      <w:spacing w:val="5"/>
    </w:rPr>
  </w:style>
  <w:style w:type="paragraph" w:styleId="Header">
    <w:name w:val="header"/>
    <w:basedOn w:val="Normal"/>
    <w:link w:val="HeaderChar"/>
    <w:uiPriority w:val="99"/>
    <w:unhideWhenUsed/>
    <w:rsid w:val="00A5724D"/>
    <w:pPr>
      <w:tabs>
        <w:tab w:val="center" w:pos="4680"/>
        <w:tab w:val="right" w:pos="9360"/>
      </w:tabs>
      <w:spacing w:line="240" w:lineRule="auto"/>
    </w:pPr>
  </w:style>
  <w:style w:type="character" w:customStyle="1" w:styleId="HeaderChar">
    <w:name w:val="Header Char"/>
    <w:basedOn w:val="DefaultParagraphFont"/>
    <w:link w:val="Header"/>
    <w:uiPriority w:val="99"/>
    <w:rsid w:val="00A5724D"/>
    <w:rPr>
      <w:rFonts w:cs="Times New Roman"/>
      <w:kern w:val="0"/>
      <w14:ligatures w14:val="none"/>
    </w:rPr>
  </w:style>
  <w:style w:type="paragraph" w:styleId="Footer">
    <w:name w:val="footer"/>
    <w:basedOn w:val="Normal"/>
    <w:link w:val="FooterChar"/>
    <w:uiPriority w:val="99"/>
    <w:unhideWhenUsed/>
    <w:rsid w:val="00A5724D"/>
    <w:pPr>
      <w:tabs>
        <w:tab w:val="center" w:pos="4680"/>
        <w:tab w:val="right" w:pos="9360"/>
      </w:tabs>
      <w:spacing w:line="240" w:lineRule="auto"/>
    </w:pPr>
  </w:style>
  <w:style w:type="character" w:customStyle="1" w:styleId="FooterChar">
    <w:name w:val="Footer Char"/>
    <w:basedOn w:val="DefaultParagraphFont"/>
    <w:link w:val="Footer"/>
    <w:uiPriority w:val="99"/>
    <w:rsid w:val="00A5724D"/>
    <w:rPr>
      <w:rFonts w:cs="Times New Roman"/>
      <w:kern w:val="0"/>
      <w14:ligatures w14:val="none"/>
    </w:rPr>
  </w:style>
  <w:style w:type="character" w:styleId="Hyperlink">
    <w:name w:val="Hyperlink"/>
    <w:basedOn w:val="DefaultParagraphFont"/>
    <w:uiPriority w:val="99"/>
    <w:unhideWhenUsed/>
    <w:rsid w:val="00A5724D"/>
    <w:rPr>
      <w:color w:val="467886" w:themeColor="hyperlink"/>
      <w:u w:val="single"/>
    </w:rPr>
  </w:style>
  <w:style w:type="character" w:styleId="PageNumber">
    <w:name w:val="page number"/>
    <w:basedOn w:val="DefaultParagraphFont"/>
    <w:uiPriority w:val="99"/>
    <w:semiHidden/>
    <w:unhideWhenUsed/>
    <w:rsid w:val="00780053"/>
  </w:style>
  <w:style w:type="paragraph" w:styleId="NoSpacing">
    <w:name w:val="No Spacing"/>
    <w:uiPriority w:val="1"/>
    <w:qFormat/>
    <w:rsid w:val="00E435FD"/>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ccfa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Props1.xml><?xml version="1.0" encoding="utf-8"?>
<ds:datastoreItem xmlns:ds="http://schemas.openxmlformats.org/officeDocument/2006/customXml" ds:itemID="{533CC481-96B2-4000-8E71-71C4C8D3FC45}"/>
</file>

<file path=customXml/itemProps2.xml><?xml version="1.0" encoding="utf-8"?>
<ds:datastoreItem xmlns:ds="http://schemas.openxmlformats.org/officeDocument/2006/customXml" ds:itemID="{603306B1-DA5D-45BA-9CD6-61BCB5CCE983}">
  <ds:schemaRefs>
    <ds:schemaRef ds:uri="http://schemas.microsoft.com/sharepoint/v3/contenttype/forms"/>
  </ds:schemaRefs>
</ds:datastoreItem>
</file>

<file path=customXml/itemProps3.xml><?xml version="1.0" encoding="utf-8"?>
<ds:datastoreItem xmlns:ds="http://schemas.openxmlformats.org/officeDocument/2006/customXml" ds:itemID="{1CEE95AB-9A27-4CB7-AFD8-016F26E4D1E5}">
  <ds:schemaRefs>
    <ds:schemaRef ds:uri="http://schemas.microsoft.com/office/2006/metadata/properties"/>
    <ds:schemaRef ds:uri="http://schemas.microsoft.com/office/infopath/2007/PartnerControls"/>
    <ds:schemaRef ds:uri="8b316736-502c-49d7-9b3a-f53407d21d26"/>
    <ds:schemaRef ds:uri="d258aae0-4b03-4190-98e6-3d6cdc00843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21</cp:revision>
  <dcterms:created xsi:type="dcterms:W3CDTF">2024-10-24T14:12:00Z</dcterms:created>
  <dcterms:modified xsi:type="dcterms:W3CDTF">2024-10-25T14:26:00Z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y fmtid="{D5CDD505-2E9C-101B-9397-08002B2CF9AE}" pid="3" name="MediaServiceImageTags">
    <vt:lpwstr/>
  </property>
</Properties>
</file>